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4"/>
        <w:gridCol w:w="5145"/>
      </w:tblGrid>
      <w:tr w:rsidR="005A160A" w:rsidRPr="00E34534" w:rsidTr="00BA6BDF">
        <w:tc>
          <w:tcPr>
            <w:tcW w:w="2151" w:type="pct"/>
            <w:hideMark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03 - DN</w:t>
            </w:r>
          </w:p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5A160A" w:rsidRPr="00E34534" w:rsidRDefault="005A160A" w:rsidP="005A160A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5A160A" w:rsidRPr="00E34534" w:rsidRDefault="005A160A" w:rsidP="005A160A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LƯU CHUYỂN TIỀN TỆ</w:t>
      </w: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(Theo phương pháp trực tiếp) (*)</w:t>
      </w: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br/>
      </w: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ngày……</w:t>
      </w:r>
    </w:p>
    <w:p w:rsidR="005A160A" w:rsidRPr="00E34534" w:rsidRDefault="005A160A" w:rsidP="005A160A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5A160A" w:rsidRPr="00E34534" w:rsidRDefault="005A160A" w:rsidP="005A160A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tính:...............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601"/>
        <w:gridCol w:w="537"/>
        <w:gridCol w:w="1117"/>
        <w:gridCol w:w="786"/>
        <w:gridCol w:w="968"/>
      </w:tblGrid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Lưu chuyển tiền từ hoạt động kinh doanh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 thu từ bán hàng, cung cấp dịch vụ và doanh thu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Tiền chi trả cho người cung cấp hàng hóa và dịch vụ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Tiền chi trả cho người lao động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03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Chi phí đi vay đã trả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04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Thuế thu nhập doanh nghiệp đã nộp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05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Tiền thu khác từ hoạt động kinh doanh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06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Tiền chi khác cho hoạt động kinh doanh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07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từ hoạt động kinh doanh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II. Lưu chuyển tiền từ hoạt động đầu tư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bookmarkStart w:id="0" w:name="_GoBack"/>
            <w:bookmarkEnd w:id="0"/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 chi để mua sắm, xây dựng TSCĐ và các tài sản dài hạn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Tiền thu từ thanh lý, nhượng bán TSCĐ và các tài sản dài hạn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Tiền chi cho vay, mua các công cụ nợ của đơn vị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Tiền thu hồi cho vay, bán lại các công cụ nợ của đơn vị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Tiền chi đầu tư góp vốn vào đơn vị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Tiền thu hồi đầu tư góp vốn vào đơn vị khác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Tiền thu lãi cho vay, cổ tức và lợi nhuận được chia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từ hoạt động đầu tư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III. Lưu chuyển tiền từ hoạt động tài chính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 thu từ phát hành cổ phiếu, nhận vốn góp của chủ sở hữu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Tiền trả lại vốn góp cho các chủ sở hữu, mua lại cổ phiếu đã phát hành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Tiền thu từ đi vay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4. Tiền trả nợ gốc vay 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(…)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Tiền trả nợ gốc thuê tài chính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Cổ tức, lợi nhuận đã trả cho chủ sở hữu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từ hoạt động tài chính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Lưu chuyển tiền thuần trong kỳ (50 = 20+30+40)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Tiền và tương đương tiền đầu kỳ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Ảnh hưởng của thay đổi tỷ giá hối đoái quy đổi ngoại tệ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5A160A" w:rsidRPr="00E34534" w:rsidTr="00BA6BDF">
        <w:tc>
          <w:tcPr>
            <w:tcW w:w="31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Tiền và tương đương tiền cuối kỳ (70 = 50+60+61)</w:t>
            </w:r>
          </w:p>
        </w:tc>
        <w:tc>
          <w:tcPr>
            <w:tcW w:w="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6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60A" w:rsidRPr="00E34534" w:rsidRDefault="005A160A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5A160A" w:rsidRPr="00E34534" w:rsidRDefault="005A160A" w:rsidP="005A160A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  <w:t>Ghi chú: Các chỉ tiêu không có số liệu thì doanh nghiệp không phải trình bày nhưng không được đánh lại “Mã số” chỉ tiêu.</w:t>
      </w:r>
    </w:p>
    <w:p w:rsidR="005A160A" w:rsidRPr="00E34534" w:rsidRDefault="005A160A" w:rsidP="005A160A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5A160A" w:rsidRPr="00E34534" w:rsidTr="00BA6BDF">
        <w:tc>
          <w:tcPr>
            <w:tcW w:w="1667" w:type="pct"/>
          </w:tcPr>
          <w:p w:rsidR="005A160A" w:rsidRPr="00E34534" w:rsidRDefault="005A160A" w:rsidP="005A1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lastRenderedPageBreak/>
              <w:t>NGƯỜI LẬP</w:t>
            </w:r>
          </w:p>
          <w:p w:rsidR="005A160A" w:rsidRPr="00E34534" w:rsidRDefault="005A160A" w:rsidP="005A1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5A160A" w:rsidRPr="00E34534" w:rsidRDefault="005A160A" w:rsidP="005A1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5A160A" w:rsidRPr="00E34534" w:rsidRDefault="005A160A" w:rsidP="005A1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5A160A" w:rsidRPr="00E34534" w:rsidRDefault="005A160A" w:rsidP="005A16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:rsidR="0034473B" w:rsidRDefault="005A160A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0A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5A160A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609A8-0E00-4968-8012-5C11B31E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60A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5A160A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A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2025-11-04T08:27:00Z</dcterms:created>
  <dcterms:modified xsi:type="dcterms:W3CDTF">2025-11-04T08:27:00Z</dcterms:modified>
</cp:coreProperties>
</file>